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Pr="00042A1C" w:rsidRDefault="008B775F" w:rsidP="003B6F23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>публичных слушаний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7"/>
        <w:gridCol w:w="4599"/>
      </w:tblGrid>
      <w:tr w:rsidR="008B775F" w:rsidRPr="00FF5407" w:rsidTr="006572E5">
        <w:tc>
          <w:tcPr>
            <w:tcW w:w="3402" w:type="dxa"/>
          </w:tcPr>
          <w:p w:rsidR="008B775F" w:rsidRPr="00E6131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</w:tcPr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DC1148">
              <w:rPr>
                <w:sz w:val="28"/>
                <w:szCs w:val="28"/>
              </w:rPr>
              <w:t xml:space="preserve">                   с. Плоское </w:t>
            </w:r>
          </w:p>
        </w:tc>
      </w:tr>
      <w:tr w:rsidR="008B775F" w:rsidRPr="00FF5407" w:rsidTr="003B6F23">
        <w:trPr>
          <w:trHeight w:val="8966"/>
        </w:trPr>
        <w:tc>
          <w:tcPr>
            <w:tcW w:w="9418" w:type="dxa"/>
            <w:gridSpan w:val="3"/>
          </w:tcPr>
          <w:p w:rsidR="008B775F" w:rsidRPr="008B775F" w:rsidRDefault="00261BCE" w:rsidP="00261BC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="008B775F" w:rsidRPr="008B775F">
              <w:rPr>
                <w:sz w:val="28"/>
                <w:szCs w:val="28"/>
              </w:rPr>
              <w:t xml:space="preserve">Публичные слушания назначены: решением Земского собрания </w:t>
            </w:r>
            <w:r w:rsidR="00DC1148">
              <w:rPr>
                <w:sz w:val="28"/>
                <w:szCs w:val="28"/>
              </w:rPr>
              <w:t>Плосковского</w:t>
            </w:r>
            <w:r w:rsidR="008B775F" w:rsidRPr="008B775F">
              <w:rPr>
                <w:sz w:val="28"/>
                <w:szCs w:val="28"/>
              </w:rPr>
              <w:t xml:space="preserve"> сельского поселения муниципального района «Корочанск</w:t>
            </w:r>
            <w:r w:rsidR="00DC1148">
              <w:rPr>
                <w:sz w:val="28"/>
                <w:szCs w:val="28"/>
              </w:rPr>
              <w:t>ий район пятого созыва от 29 октября 2024г. № 61</w:t>
            </w:r>
            <w:r w:rsidR="008B775F" w:rsidRPr="008B775F">
              <w:rPr>
                <w:sz w:val="28"/>
                <w:szCs w:val="28"/>
              </w:rPr>
              <w:t xml:space="preserve"> «О рассмотрении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образования.</w:t>
            </w:r>
            <w:proofErr w:type="gramEnd"/>
          </w:p>
          <w:p w:rsidR="008B775F" w:rsidRDefault="00261BCE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Информация</w:t>
            </w:r>
            <w:r w:rsidR="008B775F" w:rsidRPr="00FF5407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назначении публичных слушаний</w:t>
            </w:r>
            <w:r w:rsidR="008B775F">
              <w:rPr>
                <w:sz w:val="28"/>
                <w:szCs w:val="28"/>
              </w:rPr>
              <w:t xml:space="preserve"> </w:t>
            </w:r>
            <w:r w:rsidR="009C75D5">
              <w:rPr>
                <w:sz w:val="28"/>
                <w:szCs w:val="28"/>
              </w:rPr>
              <w:t>29</w:t>
            </w:r>
            <w:r w:rsidR="008B775F">
              <w:rPr>
                <w:sz w:val="28"/>
                <w:szCs w:val="28"/>
              </w:rPr>
              <w:t xml:space="preserve"> октября 2024 года</w:t>
            </w:r>
            <w:r>
              <w:rPr>
                <w:sz w:val="28"/>
                <w:szCs w:val="28"/>
              </w:rPr>
              <w:t xml:space="preserve"> размещена</w:t>
            </w:r>
            <w:r w:rsidR="008B775F">
              <w:rPr>
                <w:sz w:val="28"/>
                <w:szCs w:val="28"/>
              </w:rPr>
              <w:t xml:space="preserve">: </w:t>
            </w:r>
            <w:r w:rsidR="008B775F" w:rsidRPr="00E3450F">
              <w:rPr>
                <w:rFonts w:eastAsia="Calibri"/>
                <w:sz w:val="27"/>
                <w:szCs w:val="27"/>
              </w:rPr>
              <w:t xml:space="preserve">на </w:t>
            </w:r>
            <w:r w:rsidR="008B775F"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DC1148">
              <w:rPr>
                <w:sz w:val="28"/>
                <w:szCs w:val="28"/>
              </w:rPr>
              <w:t>Плосковского</w:t>
            </w:r>
            <w:r w:rsidR="008B775F"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="008B775F" w:rsidRPr="00EB33CA">
              <w:rPr>
                <w:sz w:val="28"/>
                <w:szCs w:val="28"/>
              </w:rPr>
              <w:t>(</w:t>
            </w:r>
            <w:r w:rsidR="00DC1148" w:rsidRPr="00437250">
              <w:rPr>
                <w:sz w:val="28"/>
                <w:szCs w:val="28"/>
              </w:rPr>
              <w:t>https://plos</w:t>
            </w:r>
            <w:r w:rsidR="00DC1148">
              <w:rPr>
                <w:sz w:val="28"/>
                <w:szCs w:val="28"/>
              </w:rPr>
              <w:t>kovskoe-r31.gosweb.gosuslugi.ru</w:t>
            </w:r>
            <w:r w:rsidR="008B775F" w:rsidRPr="00EB33CA">
              <w:rPr>
                <w:sz w:val="28"/>
                <w:szCs w:val="28"/>
              </w:rPr>
              <w:t>)</w:t>
            </w:r>
            <w:r w:rsidR="008B775F">
              <w:rPr>
                <w:sz w:val="28"/>
                <w:szCs w:val="28"/>
              </w:rPr>
              <w:t>, в сетевом издани</w:t>
            </w:r>
            <w:r w:rsidR="00DC1148">
              <w:rPr>
                <w:sz w:val="28"/>
                <w:szCs w:val="28"/>
              </w:rPr>
              <w:t>и</w:t>
            </w:r>
            <w:r w:rsidR="008B775F">
              <w:rPr>
                <w:sz w:val="28"/>
                <w:szCs w:val="28"/>
              </w:rPr>
              <w:t xml:space="preserve"> «Ясный ключ» </w:t>
            </w:r>
            <w:r w:rsidR="008B775F" w:rsidRPr="004C7D97">
              <w:rPr>
                <w:sz w:val="28"/>
                <w:szCs w:val="28"/>
              </w:rPr>
              <w:t>(</w:t>
            </w:r>
            <w:hyperlink r:id="rId7" w:history="1">
              <w:r w:rsidR="008B775F"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="008B775F" w:rsidRPr="004C7D97">
              <w:rPr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>, на информационных стендах и местах, доступных для неограниченного круга лиц, в порядке, предусмотренном Уставом Плосковского сельского поселения муниципального района «Корочанский район» Белгородской области.</w:t>
            </w:r>
            <w:proofErr w:type="gramEnd"/>
          </w:p>
          <w:p w:rsidR="008B775F" w:rsidRPr="00373E70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 xml:space="preserve">публичных слушаний: </w:t>
            </w:r>
          </w:p>
          <w:p w:rsidR="008B775F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</w:t>
            </w:r>
            <w:r w:rsidR="009C75D5">
              <w:rPr>
                <w:sz w:val="28"/>
                <w:szCs w:val="28"/>
              </w:rPr>
              <w:t xml:space="preserve"> поддержании инициативы о </w:t>
            </w:r>
            <w:r>
              <w:rPr>
                <w:sz w:val="28"/>
                <w:szCs w:val="28"/>
              </w:rPr>
              <w:t>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      </w:r>
          </w:p>
          <w:p w:rsidR="008B775F" w:rsidRDefault="008B775F" w:rsidP="00261BC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61BCE">
              <w:rPr>
                <w:sz w:val="28"/>
                <w:szCs w:val="28"/>
              </w:rPr>
              <w:t>Инициатор публичных слушаний: Земское собрание Плосковского сельского поселения муниципального района «Корочанский район».</w:t>
            </w:r>
          </w:p>
          <w:p w:rsidR="00261BCE" w:rsidRDefault="00261BCE" w:rsidP="00261BC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Дата проведения: 19 ноября 2024 года.</w:t>
            </w:r>
          </w:p>
          <w:p w:rsidR="00261BCE" w:rsidRDefault="00261BCE" w:rsidP="00261BC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Количество участников публичных слушаний, принявших участие: 29 человек.</w:t>
            </w:r>
          </w:p>
          <w:p w:rsidR="00261BCE" w:rsidRPr="00FF5407" w:rsidRDefault="00261BCE" w:rsidP="00261BC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Заключение о результатах публичных слушаний подготовлено на основании Протокола проведения публичных слушаний от 19 ноября 2024 года №3. </w:t>
            </w:r>
          </w:p>
        </w:tc>
      </w:tr>
    </w:tbl>
    <w:p w:rsidR="008B775F" w:rsidRPr="00042A1C" w:rsidRDefault="008B775F" w:rsidP="008B775F">
      <w:pPr>
        <w:pStyle w:val="ConsPlusNormal"/>
        <w:tabs>
          <w:tab w:val="left" w:pos="3907"/>
        </w:tabs>
        <w:jc w:val="both"/>
        <w:rPr>
          <w:sz w:val="16"/>
          <w:szCs w:val="16"/>
        </w:rPr>
      </w:pP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3"/>
        <w:gridCol w:w="1417"/>
        <w:gridCol w:w="2410"/>
        <w:gridCol w:w="2126"/>
      </w:tblGrid>
      <w:tr w:rsidR="008B775F" w:rsidRPr="00FF5407" w:rsidTr="006572E5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8B775F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8B775F" w:rsidRPr="00FF5407" w:rsidTr="0065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8B775F" w:rsidRPr="00164F69" w:rsidRDefault="008B775F" w:rsidP="006572E5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>кст пр</w:t>
            </w:r>
            <w:proofErr w:type="gramEnd"/>
            <w:r w:rsidRPr="00164F69">
              <w:rPr>
                <w:b/>
                <w:sz w:val="28"/>
                <w:szCs w:val="28"/>
              </w:rPr>
              <w:t>едложения, замечания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B775F" w:rsidRPr="00FF5407" w:rsidTr="0065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Pr="0089397A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Pr="00A20AEA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61BCE" w:rsidRDefault="00261BCE" w:rsidP="008B7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775F" w:rsidRDefault="00261BCE" w:rsidP="008B7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проведения публичных слушаний сделано следующее заключение: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Поддержать инициативу Муниципального совета муниципального района «Корочанский район» о преобразовании всех поселений: </w:t>
      </w:r>
      <w:proofErr w:type="gram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Алексеевского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Анновского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Бехтеевского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Бубновского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Жигайловского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</w:t>
      </w:r>
      <w:proofErr w:type="gram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Заяченского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Кощеевского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Ломовского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Новослободского сельского поселения муниципального района «Корочанский район» Белгородской области, Плосковского сельского поселения</w:t>
      </w:r>
      <w:proofErr w:type="gram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Плотавского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Поповского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Проходенского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Соколовского сельского поселения муниципального района «Корочанский район» Белгородской области,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Шеинского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proofErr w:type="gram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proofErr w:type="spellEnd"/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Яблоновского сельского </w:t>
      </w:r>
      <w:r w:rsidR="00261BCE" w:rsidRPr="00261BCE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муниципального района «Корочанский район» Белгородской области, городского поселения «Город Короча» муниципального района «Корочанский район» Белгородской области,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495E5E" w:rsidRPr="00495E5E" w:rsidRDefault="00495E5E" w:rsidP="00495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5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95E5E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депутатам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Плосковского</w:t>
      </w:r>
      <w:r w:rsidRPr="00495E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выразить согласие населения на преобразование всех поселений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495E5E" w:rsidRPr="00495E5E" w:rsidRDefault="00495E5E" w:rsidP="00495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5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95E5E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>Плосковского</w:t>
      </w:r>
      <w:r w:rsidRPr="00495E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  <w:proofErr w:type="gramEnd"/>
    </w:p>
    <w:p w:rsidR="000B1070" w:rsidRDefault="00495E5E" w:rsidP="008B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775F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9C75D5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="008B775F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заключение</w:t>
      </w:r>
      <w:r w:rsidR="000B1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75F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B1070" w:rsidRPr="00E3450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B1070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</w:t>
      </w:r>
      <w:r w:rsidR="00DC1148">
        <w:rPr>
          <w:rFonts w:ascii="Times New Roman" w:hAnsi="Times New Roman" w:cs="Times New Roman"/>
          <w:sz w:val="28"/>
          <w:szCs w:val="28"/>
        </w:rPr>
        <w:t>Плосковского</w:t>
      </w:r>
      <w:r w:rsidR="000B107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0B1070" w:rsidRPr="00EB33CA">
        <w:rPr>
          <w:rFonts w:ascii="Times New Roman" w:hAnsi="Times New Roman" w:cs="Times New Roman"/>
          <w:sz w:val="28"/>
          <w:szCs w:val="28"/>
        </w:rPr>
        <w:t>(</w:t>
      </w:r>
      <w:r w:rsidR="00DC1148" w:rsidRPr="00DC1148">
        <w:rPr>
          <w:rFonts w:ascii="Times New Roman" w:hAnsi="Times New Roman" w:cs="Times New Roman"/>
          <w:sz w:val="28"/>
          <w:szCs w:val="28"/>
        </w:rPr>
        <w:t>https://ploskovskoe-r31.gosweb.gosuslugi.ru</w:t>
      </w:r>
      <w:r w:rsidR="000B1070" w:rsidRPr="00EB33CA">
        <w:rPr>
          <w:rFonts w:ascii="Times New Roman" w:hAnsi="Times New Roman" w:cs="Times New Roman"/>
          <w:sz w:val="28"/>
          <w:szCs w:val="28"/>
        </w:rPr>
        <w:t>)</w:t>
      </w:r>
      <w:r w:rsidR="009C75D5">
        <w:rPr>
          <w:rFonts w:ascii="Times New Roman" w:hAnsi="Times New Roman" w:cs="Times New Roman"/>
          <w:sz w:val="28"/>
          <w:szCs w:val="28"/>
        </w:rPr>
        <w:t xml:space="preserve">, </w:t>
      </w:r>
      <w:r w:rsidR="000B1070">
        <w:rPr>
          <w:rFonts w:ascii="Times New Roman" w:hAnsi="Times New Roman" w:cs="Times New Roman"/>
          <w:sz w:val="28"/>
          <w:szCs w:val="28"/>
        </w:rPr>
        <w:t xml:space="preserve">сетевом издании «Ясный ключ» </w:t>
      </w:r>
      <w:r w:rsidR="000B1070" w:rsidRPr="004C7D9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0B1070" w:rsidRPr="00F11216">
          <w:rPr>
            <w:rStyle w:val="a5"/>
            <w:rFonts w:ascii="Times New Roman" w:hAnsi="Times New Roman" w:cs="Times New Roman"/>
            <w:sz w:val="28"/>
            <w:szCs w:val="28"/>
          </w:rPr>
          <w:t>https://korocha31.ru</w:t>
        </w:r>
      </w:hyperlink>
      <w:r w:rsidR="000B1070" w:rsidRPr="004C7D97">
        <w:rPr>
          <w:rFonts w:ascii="Times New Roman" w:hAnsi="Times New Roman" w:cs="Times New Roman"/>
          <w:sz w:val="28"/>
          <w:szCs w:val="28"/>
        </w:rPr>
        <w:t>)</w:t>
      </w:r>
      <w:r w:rsidR="009C75D5">
        <w:rPr>
          <w:rFonts w:ascii="Times New Roman" w:hAnsi="Times New Roman" w:cs="Times New Roman"/>
          <w:sz w:val="28"/>
          <w:szCs w:val="28"/>
        </w:rPr>
        <w:t>, на информационных стендах в местах, доступны</w:t>
      </w:r>
      <w:r>
        <w:rPr>
          <w:rFonts w:ascii="Times New Roman" w:hAnsi="Times New Roman" w:cs="Times New Roman"/>
          <w:sz w:val="28"/>
          <w:szCs w:val="28"/>
        </w:rPr>
        <w:t>х для неограниченного круга лиц, в порядке, предусмотренном Уставом Плосковского сельского поселения муниципального района «Корочанский район» Белгородской области.</w:t>
      </w:r>
      <w:proofErr w:type="gramEnd"/>
    </w:p>
    <w:p w:rsidR="008B775F" w:rsidRPr="006E4934" w:rsidRDefault="008B775F" w:rsidP="008B7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775F" w:rsidRPr="00FF5407" w:rsidRDefault="008B775F" w:rsidP="003B6F2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2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205"/>
        <w:gridCol w:w="296"/>
        <w:gridCol w:w="1915"/>
        <w:gridCol w:w="2388"/>
        <w:gridCol w:w="2662"/>
      </w:tblGrid>
      <w:tr w:rsidR="003B6F23" w:rsidRPr="008B6A70" w:rsidTr="003B6F23">
        <w:tc>
          <w:tcPr>
            <w:tcW w:w="5244" w:type="dxa"/>
            <w:gridSpan w:val="2"/>
          </w:tcPr>
          <w:p w:rsidR="003B6F23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6F23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</w:p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2211" w:type="dxa"/>
            <w:gridSpan w:val="2"/>
          </w:tcPr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B6F23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B6F23" w:rsidRPr="008B6A70" w:rsidRDefault="005A2292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Аркатова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О.И</w:t>
            </w:r>
            <w:r w:rsidR="003B6F23" w:rsidRPr="008B6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3B6F23" w:rsidRPr="005B7BD4" w:rsidTr="003B6F23">
        <w:tc>
          <w:tcPr>
            <w:tcW w:w="5244" w:type="dxa"/>
            <w:gridSpan w:val="2"/>
          </w:tcPr>
          <w:p w:rsidR="003B6F23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  <w:gridSpan w:val="2"/>
          </w:tcPr>
          <w:p w:rsidR="003B6F23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3B6F23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3B6F23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B6F23" w:rsidRDefault="005A2292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Антоненко Е.Ф.</w:t>
            </w:r>
          </w:p>
          <w:p w:rsidR="003B6F23" w:rsidRPr="005B7BD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F23" w:rsidRPr="00B55085" w:rsidTr="003B6F23">
        <w:tc>
          <w:tcPr>
            <w:tcW w:w="5244" w:type="dxa"/>
            <w:gridSpan w:val="2"/>
          </w:tcPr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  <w:gridSpan w:val="2"/>
          </w:tcPr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3B6F23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</w:t>
            </w:r>
          </w:p>
          <w:p w:rsidR="003B6F23" w:rsidRDefault="005A2292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Атоманенко Т.Г.</w:t>
            </w:r>
          </w:p>
          <w:p w:rsidR="003B6F23" w:rsidRPr="00B55085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F23" w:rsidRPr="00B55085" w:rsidTr="003B6F23">
        <w:trPr>
          <w:gridAfter w:val="1"/>
          <w:wAfter w:w="2662" w:type="dxa"/>
        </w:trPr>
        <w:tc>
          <w:tcPr>
            <w:tcW w:w="3039" w:type="dxa"/>
          </w:tcPr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501" w:type="dxa"/>
            <w:gridSpan w:val="2"/>
          </w:tcPr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</w:t>
            </w:r>
          </w:p>
          <w:p w:rsidR="003B6F23" w:rsidRPr="00814484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:rsidR="003B6F23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___________    </w:t>
            </w:r>
          </w:p>
          <w:p w:rsidR="003B6F23" w:rsidRPr="00B55085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подпись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A2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Фоменко Т.Н.</w:t>
            </w:r>
          </w:p>
          <w:p w:rsidR="003B6F23" w:rsidRPr="00B55085" w:rsidRDefault="003B6F23" w:rsidP="008B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2292" w:rsidRDefault="005A2292" w:rsidP="005A2292">
      <w:bookmarkStart w:id="0" w:name="_GoBack"/>
      <w:bookmarkEnd w:id="0"/>
    </w:p>
    <w:sectPr w:rsidR="005A2292" w:rsidSect="00495E5E">
      <w:headerReference w:type="default" r:id="rId9"/>
      <w:headerReference w:type="first" r:id="rId10"/>
      <w:pgSz w:w="11906" w:h="16838"/>
      <w:pgMar w:top="0" w:right="850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EE" w:rsidRDefault="00647AEE" w:rsidP="00EA6F3F">
      <w:pPr>
        <w:spacing w:after="0" w:line="240" w:lineRule="auto"/>
      </w:pPr>
      <w:r>
        <w:separator/>
      </w:r>
    </w:p>
  </w:endnote>
  <w:endnote w:type="continuationSeparator" w:id="0">
    <w:p w:rsidR="00647AEE" w:rsidRDefault="00647AEE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EE" w:rsidRDefault="00647AEE" w:rsidP="00EA6F3F">
      <w:pPr>
        <w:spacing w:after="0" w:line="240" w:lineRule="auto"/>
      </w:pPr>
      <w:r>
        <w:separator/>
      </w:r>
    </w:p>
  </w:footnote>
  <w:footnote w:type="continuationSeparator" w:id="0">
    <w:p w:rsidR="00647AEE" w:rsidRDefault="00647AEE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9A" w:rsidRDefault="00647AEE" w:rsidP="005A2292">
    <w:pPr>
      <w:pStyle w:val="a3"/>
    </w:pPr>
  </w:p>
  <w:p w:rsidR="008B769A" w:rsidRDefault="00647A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9A" w:rsidRDefault="00647AEE">
    <w:pPr>
      <w:pStyle w:val="a3"/>
      <w:jc w:val="center"/>
    </w:pPr>
  </w:p>
  <w:p w:rsidR="008B769A" w:rsidRDefault="00647A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5F"/>
    <w:rsid w:val="00011684"/>
    <w:rsid w:val="000B1070"/>
    <w:rsid w:val="00184A7B"/>
    <w:rsid w:val="00261BCE"/>
    <w:rsid w:val="003B6F23"/>
    <w:rsid w:val="00495E5E"/>
    <w:rsid w:val="005A2292"/>
    <w:rsid w:val="00647AEE"/>
    <w:rsid w:val="008B775F"/>
    <w:rsid w:val="009C75D5"/>
    <w:rsid w:val="00AB69A5"/>
    <w:rsid w:val="00D6664C"/>
    <w:rsid w:val="00DC1148"/>
    <w:rsid w:val="00EA6F3F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5A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29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95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Антоненко</cp:lastModifiedBy>
  <cp:revision>8</cp:revision>
  <cp:lastPrinted>2024-11-20T08:17:00Z</cp:lastPrinted>
  <dcterms:created xsi:type="dcterms:W3CDTF">2024-11-07T05:55:00Z</dcterms:created>
  <dcterms:modified xsi:type="dcterms:W3CDTF">2024-11-20T08:19:00Z</dcterms:modified>
</cp:coreProperties>
</file>